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Технология проектирования дополнительной общеобразовательной общеразвивающей программы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Ind w:w="108" w:type="dxa"/>
      </w:tblPr>
      <w:tblGrid>
        <w:gridCol w:w="426"/>
        <w:gridCol w:w="1799"/>
        <w:gridCol w:w="7165"/>
      </w:tblGrid>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color w:val="auto"/>
                <w:spacing w:val="0"/>
                <w:position w:val="0"/>
                <w:shd w:fill="auto" w:val="clear"/>
              </w:rPr>
            </w:pPr>
            <w:r>
              <w:rPr>
                <w:rFonts w:ascii="Segoe UI Symbol" w:hAnsi="Segoe UI Symbol" w:cs="Segoe UI Symbol" w:eastAsia="Segoe UI Symbol"/>
                <w:b/>
                <w:i/>
                <w:color w:val="auto"/>
                <w:spacing w:val="0"/>
                <w:position w:val="0"/>
                <w:sz w:val="24"/>
                <w:shd w:fill="auto" w:val="clear"/>
              </w:rPr>
              <w:t xml:space="preserve">№</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Структура программы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center"/>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Содержание структурных компонентов программы</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Титульный лист</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вышестоящих органов образования (по подчиненности учреждения, организации);</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наименование учреждения, организации (согласно формулировке устава организации);</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и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протокола экспертного совета, рекомендовавшего программу к реализации;</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гриф утверждения программы (с указанием ФИО руководителя, даты и номера приказа);</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название программы;</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адресат программы (возраст участников программы);</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реализации программы;</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должность разработчика (-ов) программы;</w:t>
            </w:r>
          </w:p>
          <w:p>
            <w:pPr>
              <w:numPr>
                <w:ilvl w:val="0"/>
                <w:numId w:val="9"/>
              </w:numPr>
              <w:tabs>
                <w:tab w:val="left" w:pos="709" w:leader="none"/>
              </w:tabs>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(город, другой населенный пункт) и год разработки программы.</w:t>
            </w:r>
          </w:p>
          <w:p>
            <w:pPr>
              <w:tabs>
                <w:tab w:val="left" w:pos="371" w:leader="none"/>
                <w:tab w:val="left" w:pos="1429" w:leader="none"/>
              </w:tabs>
              <w:spacing w:before="0" w:after="0" w:line="240"/>
              <w:ind w:right="0" w:left="191"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Приложение 1)</w:t>
            </w:r>
          </w:p>
        </w:tc>
      </w:tr>
      <w:tr>
        <w:trPr>
          <w:trHeight w:val="1" w:hRule="atLeast"/>
          <w:jc w:val="left"/>
        </w:trPr>
        <w:tc>
          <w:tcPr>
            <w:tcW w:w="939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09"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Раздел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1. «</w:t>
            </w:r>
            <w:r>
              <w:rPr>
                <w:rFonts w:ascii="Times New Roman" w:hAnsi="Times New Roman" w:cs="Times New Roman" w:eastAsia="Times New Roman"/>
                <w:b/>
                <w:color w:val="auto"/>
                <w:spacing w:val="0"/>
                <w:position w:val="0"/>
                <w:sz w:val="24"/>
                <w:shd w:fill="auto" w:val="clear"/>
              </w:rPr>
              <w:t xml:space="preserve">Комплекс основных характеристик программы</w:t>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1.1</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Пояснительная записка</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Этот раздел направлен на отражение общей характеристики программы:</w:t>
            </w:r>
          </w:p>
          <w:p>
            <w:pPr>
              <w:numPr>
                <w:ilvl w:val="0"/>
                <w:numId w:val="18"/>
              </w:numPr>
              <w:spacing w:before="0" w:after="0" w:line="240"/>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направленность (профиль)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техническая, естественнонаучная, физкультурно-спортивная, художественная, туристско-краеведческая, социально-педагогическая;</w:t>
            </w:r>
          </w:p>
          <w:p>
            <w:pPr>
              <w:numPr>
                <w:ilvl w:val="0"/>
                <w:numId w:val="18"/>
              </w:numPr>
              <w:spacing w:before="0" w:after="160" w:line="256"/>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актуальность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своевременность, необходимость, соответствие потребностям времени;</w:t>
            </w:r>
          </w:p>
          <w:p>
            <w:pPr>
              <w:numPr>
                <w:ilvl w:val="0"/>
                <w:numId w:val="18"/>
              </w:numPr>
              <w:spacing w:before="0" w:after="160" w:line="256"/>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отличительные особенности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идеи, отличающие программу от существующих;</w:t>
            </w:r>
          </w:p>
          <w:p>
            <w:pPr>
              <w:numPr>
                <w:ilvl w:val="0"/>
                <w:numId w:val="18"/>
              </w:numPr>
              <w:spacing w:before="0" w:after="160" w:line="256"/>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адресат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краткая характеристика обучающихся по программе, возрастные особенности, иные медико-психолого-педагогические характеристики;</w:t>
            </w:r>
          </w:p>
          <w:p>
            <w:pPr>
              <w:numPr>
                <w:ilvl w:val="0"/>
                <w:numId w:val="18"/>
              </w:numPr>
              <w:spacing w:before="0" w:after="160" w:line="256"/>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объем и срок освоения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pPr>
              <w:numPr>
                <w:ilvl w:val="0"/>
                <w:numId w:val="18"/>
              </w:numPr>
              <w:tabs>
                <w:tab w:val="left" w:pos="1134" w:leader="none"/>
              </w:tabs>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обучения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очная, очно-заочная или заочная форме (Закон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 гл. 2, ст. 17, п. 2), а также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допускается сочетание различных форм получения образования и форм обучения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 гл. 2, ст. 17, п. 4);</w:t>
            </w:r>
          </w:p>
          <w:p>
            <w:pPr>
              <w:numPr>
                <w:ilvl w:val="0"/>
                <w:numId w:val="18"/>
              </w:numPr>
              <w:spacing w:before="0" w:after="160" w:line="256"/>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организации образовательного процесса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3"/>
                <w:shd w:fill="FFFFFF" w:val="clear"/>
              </w:rPr>
              <w:t xml:space="preserve"> </w:t>
            </w:r>
            <w:r>
              <w:rPr>
                <w:rFonts w:ascii="Times New Roman" w:hAnsi="Times New Roman" w:cs="Times New Roman" w:eastAsia="Times New Roman"/>
                <w:color w:val="auto"/>
                <w:spacing w:val="0"/>
                <w:position w:val="0"/>
                <w:sz w:val="24"/>
                <w:shd w:fill="FFFFFF" w:val="clear"/>
              </w:rPr>
              <w:t xml:space="preserve">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1008, </w:t>
            </w:r>
            <w:r>
              <w:rPr>
                <w:rFonts w:ascii="Times New Roman" w:hAnsi="Times New Roman" w:cs="Times New Roman" w:eastAsia="Times New Roman"/>
                <w:color w:val="auto"/>
                <w:spacing w:val="0"/>
                <w:position w:val="0"/>
                <w:sz w:val="24"/>
                <w:shd w:fill="FFFFFF" w:val="clear"/>
              </w:rPr>
              <w:t xml:space="preserve">п. 7);</w:t>
            </w:r>
            <w:r>
              <w:rPr>
                <w:rFonts w:ascii="Times New Roman" w:hAnsi="Times New Roman" w:cs="Times New Roman" w:eastAsia="Times New Roman"/>
                <w:color w:val="auto"/>
                <w:spacing w:val="0"/>
                <w:position w:val="0"/>
                <w:sz w:val="24"/>
                <w:shd w:fill="auto" w:val="clear"/>
              </w:rPr>
              <w:t xml:space="preserve">состав группы (постоянный, переменный и др.)</w:t>
            </w:r>
          </w:p>
          <w:p>
            <w:pPr>
              <w:numPr>
                <w:ilvl w:val="0"/>
                <w:numId w:val="18"/>
              </w:numPr>
              <w:tabs>
                <w:tab w:val="left" w:pos="368" w:leader="none"/>
              </w:tabs>
              <w:spacing w:before="0" w:after="0" w:line="240"/>
              <w:ind w:right="0" w:left="0" w:firstLine="2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занятий, периодичность и продолжительность занятий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общее количество часов в год; количество часов и занятий в неделю; периодичность и продолжительность занятий.</w:t>
            </w:r>
          </w:p>
          <w:p>
            <w:pPr>
              <w:spacing w:before="0" w:after="0" w:line="240"/>
              <w:ind w:right="0" w:left="0" w:firstLine="0"/>
              <w:jc w:val="both"/>
              <w:rPr>
                <w:color w:val="auto"/>
                <w:spacing w:val="0"/>
                <w:position w:val="0"/>
              </w:rPr>
            </w:pP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1.2</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Цель и задачи программы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w:t>
            </w:r>
          </w:p>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должна быть связана с названием программы, отражать ее основную направленность и желаемый конечный результат.</w:t>
            </w:r>
          </w:p>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Конкретизация цели осуществляется через определение задач, раскрывающих пути достижения цели. Задачи показывают, что нужно сделать, чтобы достичь цели.</w:t>
            </w:r>
          </w:p>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формулировании задач можно воспользоваться следующей их классификацией:</w:t>
            </w:r>
          </w:p>
          <w:p>
            <w:pPr>
              <w:numPr>
                <w:ilvl w:val="0"/>
                <w:numId w:val="27"/>
              </w:numPr>
              <w:tabs>
                <w:tab w:val="left" w:pos="368" w:leader="none"/>
                <w:tab w:val="left" w:pos="674" w:leader="none"/>
              </w:tabs>
              <w:spacing w:before="0" w:after="0" w:line="240"/>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pPr>
              <w:numPr>
                <w:ilvl w:val="0"/>
                <w:numId w:val="27"/>
              </w:numPr>
              <w:tabs>
                <w:tab w:val="left" w:pos="368" w:leader="none"/>
                <w:tab w:val="left" w:pos="674" w:leader="none"/>
              </w:tabs>
              <w:spacing w:before="0" w:after="0" w:line="240"/>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pPr>
              <w:numPr>
                <w:ilvl w:val="0"/>
                <w:numId w:val="27"/>
              </w:numPr>
              <w:tabs>
                <w:tab w:val="left" w:pos="368" w:leader="none"/>
                <w:tab w:val="left" w:pos="674" w:leader="none"/>
              </w:tabs>
              <w:spacing w:before="0" w:after="0" w:line="240"/>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Формулировки задач должны быть соотнесены с прогнозируемыми результатами.</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1.3</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Содержание программы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программы должно быть отражено в учебном плане и содержании учебно-тематического плана.</w:t>
            </w:r>
          </w:p>
          <w:p>
            <w:pPr>
              <w:numPr>
                <w:ilvl w:val="0"/>
                <w:numId w:val="32"/>
              </w:numPr>
              <w:spacing w:before="0" w:after="0" w:line="240"/>
              <w:ind w:right="0" w:left="107" w:firstLine="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 ст. 2, п. 22; ст. 47, п. 5) (см. Приложение 2);</w:t>
            </w:r>
          </w:p>
          <w:p>
            <w:pPr>
              <w:numPr>
                <w:ilvl w:val="0"/>
                <w:numId w:val="32"/>
              </w:numPr>
              <w:spacing w:before="0" w:after="0" w:line="240"/>
              <w:ind w:right="0" w:left="107" w:firstLine="14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учебного плана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w:t>
            </w:r>
          </w:p>
          <w:p>
            <w:pPr>
              <w:spacing w:before="0" w:after="160" w:line="256"/>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оформлении содержания следует придерживаться ряда общих правил:</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составляется согласно УП;</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формулировка и порядок расположения разделов и тем должны полностью соответствовать их формулировке и расположению в УП;</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 соблюдать деление на теорию и практику по каждому разделу (теме);</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 следует излагать назывными предложениями;</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каждого года обучения целесообразно оформлять отдельно;</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содержании могут размещаться ссылки на приложения (например, на правила выполнения упражнений, репертуар и т.п.);</w:t>
            </w:r>
          </w:p>
          <w:p>
            <w:pPr>
              <w:numPr>
                <w:ilvl w:val="0"/>
                <w:numId w:val="34"/>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содержании могут быть представлены вариативные образовательные маршруты. </w:t>
            </w:r>
          </w:p>
          <w:p>
            <w:pPr>
              <w:spacing w:before="0" w:after="0" w:line="240"/>
              <w:ind w:right="0" w:left="0" w:firstLine="0"/>
              <w:jc w:val="both"/>
              <w:rPr>
                <w:color w:val="auto"/>
                <w:spacing w:val="0"/>
                <w:position w:val="0"/>
                <w:shd w:fill="auto" w:val="clear"/>
              </w:rPr>
            </w:pP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1.4</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Планируемые результаты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этой части необходимо сформулировать:</w:t>
            </w:r>
          </w:p>
          <w:p>
            <w:pPr>
              <w:numPr>
                <w:ilvl w:val="0"/>
                <w:numId w:val="39"/>
              </w:numPr>
              <w:spacing w:before="0" w:after="0" w:line="240"/>
              <w:ind w:right="0" w:left="0" w:firstLine="42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знаниям и умениям, которые должен приобрести обучающийся в процессе занятий по программе (т.е. что он должен знать и уметь);</w:t>
            </w:r>
          </w:p>
          <w:p>
            <w:pPr>
              <w:numPr>
                <w:ilvl w:val="0"/>
                <w:numId w:val="39"/>
              </w:numPr>
              <w:spacing w:before="0" w:after="0" w:line="240"/>
              <w:ind w:right="0" w:left="0" w:firstLine="42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компетенции и личностные качества, которые могут быть сформированы и развиты у детей в результате занятий по программе;</w:t>
            </w:r>
          </w:p>
          <w:p>
            <w:pPr>
              <w:numPr>
                <w:ilvl w:val="0"/>
                <w:numId w:val="39"/>
              </w:numPr>
              <w:spacing w:before="0" w:after="0" w:line="240"/>
              <w:ind w:right="0" w:left="0" w:firstLine="42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личностные, метапредметные и предметные результаты, которые приобретет обучающийся по итогам освоения программы.</w:t>
            </w:r>
          </w:p>
          <w:p>
            <w:pPr>
              <w:spacing w:before="0" w:after="0" w:line="240"/>
              <w:ind w:right="0" w:left="63"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Данные характеристики формулируются с учетом цели и содержания программы.</w:t>
            </w:r>
          </w:p>
          <w:p>
            <w:pPr>
              <w:spacing w:before="0" w:after="0" w:line="240"/>
              <w:ind w:right="0" w:left="63" w:firstLine="0"/>
              <w:jc w:val="both"/>
              <w:rPr>
                <w:rFonts w:ascii="Times New Roman" w:hAnsi="Times New Roman" w:cs="Times New Roman" w:eastAsia="Times New Roman"/>
                <w:color w:val="auto"/>
                <w:spacing w:val="0"/>
                <w:position w:val="0"/>
                <w:shd w:fill="auto" w:val="clear"/>
              </w:rPr>
            </w:pPr>
          </w:p>
        </w:tc>
      </w:tr>
      <w:tr>
        <w:trPr>
          <w:trHeight w:val="1" w:hRule="atLeast"/>
          <w:jc w:val="left"/>
        </w:trPr>
        <w:tc>
          <w:tcPr>
            <w:tcW w:w="939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Раздел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2. «</w:t>
            </w:r>
            <w:r>
              <w:rPr>
                <w:rFonts w:ascii="Times New Roman" w:hAnsi="Times New Roman" w:cs="Times New Roman" w:eastAsia="Times New Roman"/>
                <w:b/>
                <w:color w:val="auto"/>
                <w:spacing w:val="0"/>
                <w:position w:val="0"/>
                <w:sz w:val="24"/>
                <w:shd w:fill="auto" w:val="clear"/>
              </w:rPr>
              <w:t xml:space="preserve">Комплекс организационно-педагогических условий</w:t>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2.1</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Календарный учебный график</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Календарный учебный график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составная часть образовательной программы (Закон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 гл. 1, ст. 2, п. 9), определяющая:</w:t>
            </w:r>
          </w:p>
          <w:p>
            <w:pPr>
              <w:numPr>
                <w:ilvl w:val="0"/>
                <w:numId w:val="49"/>
              </w:numPr>
              <w:tabs>
                <w:tab w:val="left" w:pos="368" w:leader="none"/>
              </w:tabs>
              <w:spacing w:before="0" w:after="0" w:line="240"/>
              <w:ind w:right="0" w:left="78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учебных недель, </w:t>
            </w:r>
          </w:p>
          <w:p>
            <w:pPr>
              <w:numPr>
                <w:ilvl w:val="0"/>
                <w:numId w:val="49"/>
              </w:numPr>
              <w:tabs>
                <w:tab w:val="left" w:pos="368" w:leader="none"/>
              </w:tabs>
              <w:spacing w:before="0" w:after="0" w:line="240"/>
              <w:ind w:right="0" w:left="78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учебных дней, </w:t>
            </w:r>
          </w:p>
          <w:p>
            <w:pPr>
              <w:numPr>
                <w:ilvl w:val="0"/>
                <w:numId w:val="49"/>
              </w:numPr>
              <w:tabs>
                <w:tab w:val="left" w:pos="368" w:leader="none"/>
              </w:tabs>
              <w:spacing w:before="0" w:after="0" w:line="240"/>
              <w:ind w:right="0" w:left="78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каникул, </w:t>
            </w:r>
          </w:p>
          <w:p>
            <w:pPr>
              <w:numPr>
                <w:ilvl w:val="0"/>
                <w:numId w:val="49"/>
              </w:numPr>
              <w:tabs>
                <w:tab w:val="left" w:pos="368" w:leader="none"/>
              </w:tabs>
              <w:spacing w:before="0" w:after="0" w:line="240"/>
              <w:ind w:right="0" w:left="783" w:hanging="36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даты начала и окончания учебных периодов/этапов (Приложение 3).</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2.2</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Условия реализации программы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9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условиям реализации программы относится характеристика следующих аспектов:</w:t>
            </w:r>
          </w:p>
          <w:p>
            <w:pPr>
              <w:numPr>
                <w:ilvl w:val="0"/>
                <w:numId w:val="54"/>
              </w:numPr>
              <w:tabs>
                <w:tab w:val="left" w:pos="0" w:leader="none"/>
                <w:tab w:val="left" w:pos="390" w:leader="none"/>
                <w:tab w:val="left" w:pos="532" w:leader="none"/>
                <w:tab w:val="right" w:pos="9497" w:leader="dot"/>
              </w:tabs>
              <w:spacing w:before="0" w:after="0" w:line="256"/>
              <w:ind w:right="0" w:left="8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материально-техническое обеспечение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w:t>
            </w:r>
          </w:p>
          <w:p>
            <w:pPr>
              <w:numPr>
                <w:ilvl w:val="0"/>
                <w:numId w:val="54"/>
              </w:numPr>
              <w:tabs>
                <w:tab w:val="left" w:pos="0" w:leader="none"/>
                <w:tab w:val="left" w:pos="390" w:leader="none"/>
                <w:tab w:val="left" w:pos="532" w:leader="none"/>
                <w:tab w:val="right" w:pos="9497" w:leader="dot"/>
              </w:tabs>
              <w:spacing w:before="0" w:after="0" w:line="256"/>
              <w:ind w:right="0" w:left="8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информационное обеспечение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аудио-, видео-, фото-, интернет источники;</w:t>
            </w:r>
          </w:p>
          <w:p>
            <w:pPr>
              <w:numPr>
                <w:ilvl w:val="0"/>
                <w:numId w:val="54"/>
              </w:numPr>
              <w:tabs>
                <w:tab w:val="left" w:pos="0" w:leader="none"/>
                <w:tab w:val="left" w:pos="390" w:leader="none"/>
                <w:tab w:val="left" w:pos="532" w:leader="none"/>
                <w:tab w:val="right" w:pos="9497" w:leader="dot"/>
              </w:tabs>
              <w:spacing w:before="0" w:after="0" w:line="256"/>
              <w:ind w:right="0" w:left="827" w:hanging="36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кадровое обеспечение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целесообразно перечислить педагогов, занятых в реализации программы, охарактеризовать их профессионализм, квалификацию, критерии отбора.</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2.3</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Формы  аттестации</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Перечисляются согласно учебному плану и учебно-тематическому плану (зачет, творческая работа, выставка, конкурс, фестиваль и др.).</w:t>
            </w:r>
          </w:p>
          <w:p>
            <w:pPr>
              <w:numPr>
                <w:ilvl w:val="0"/>
                <w:numId w:val="58"/>
              </w:numPr>
              <w:tabs>
                <w:tab w:val="left" w:pos="0" w:leader="none"/>
                <w:tab w:val="left" w:pos="390" w:leader="none"/>
                <w:tab w:val="left" w:pos="532" w:leader="none"/>
                <w:tab w:val="right" w:pos="9497" w:leader="dot"/>
              </w:tabs>
              <w:spacing w:before="0" w:after="0" w:line="256"/>
              <w:ind w:right="0" w:left="107"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pPr>
              <w:numPr>
                <w:ilvl w:val="0"/>
                <w:numId w:val="58"/>
              </w:numPr>
              <w:tabs>
                <w:tab w:val="left" w:pos="0" w:leader="none"/>
                <w:tab w:val="left" w:pos="390" w:leader="none"/>
                <w:tab w:val="left" w:pos="532" w:leader="none"/>
                <w:tab w:val="right" w:pos="9497" w:leader="dot"/>
              </w:tabs>
              <w:spacing w:before="0" w:after="0" w:line="256"/>
              <w:ind w:right="0" w:left="107"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 </w:t>
            </w:r>
          </w:p>
          <w:p>
            <w:pPr>
              <w:spacing w:before="0" w:after="0" w:line="240"/>
              <w:ind w:right="0" w:left="0" w:firstLine="0"/>
              <w:jc w:val="both"/>
              <w:rPr>
                <w:rFonts w:ascii="Times New Roman" w:hAnsi="Times New Roman" w:cs="Times New Roman" w:eastAsia="Times New Roman"/>
                <w:color w:val="auto"/>
                <w:spacing w:val="0"/>
                <w:position w:val="0"/>
                <w:shd w:fill="auto" w:val="clear"/>
              </w:rPr>
            </w:pP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2.4</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Оценочные  материалы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данном разделе отражается перечень (пакет) диагностических методик, позволяющих определить достижение учащимися планируемых результатов (Закон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w:t>
            </w:r>
            <w:r>
              <w:rPr>
                <w:rFonts w:ascii="Times New Roman" w:hAnsi="Times New Roman" w:cs="Times New Roman" w:eastAsia="Times New Roman"/>
                <w:color w:val="auto"/>
                <w:spacing w:val="0"/>
                <w:position w:val="0"/>
                <w:sz w:val="24"/>
                <w:shd w:fill="auto" w:val="clear"/>
              </w:rPr>
              <w:t xml:space="preserve">ФЗ, ст. 2, п. 9; ст. 47, п.5)</w:t>
            </w:r>
          </w:p>
        </w:tc>
      </w:tr>
      <w:tr>
        <w:trPr>
          <w:trHeight w:val="982" w:hRule="auto"/>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2.5</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Методические  материалы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Настоящий раздел представляет краткое описание методики работы по программе и включает в себя:</w:t>
            </w:r>
          </w:p>
          <w:p>
            <w:pPr>
              <w:numPr>
                <w:ilvl w:val="0"/>
                <w:numId w:val="68"/>
              </w:numPr>
              <w:tabs>
                <w:tab w:val="left" w:pos="0" w:leader="none"/>
                <w:tab w:val="left" w:pos="390" w:leader="none"/>
                <w:tab w:val="left" w:pos="532" w:leader="none"/>
                <w:tab w:val="right" w:pos="9497" w:leader="dot"/>
              </w:tabs>
              <w:spacing w:before="0" w:after="0" w:line="256"/>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организации образовательного процесса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очно, очно-заочно, заочно, дистанционно, в условиях сетевого взаимодействия и др.;</w:t>
            </w:r>
          </w:p>
          <w:p>
            <w:pPr>
              <w:numPr>
                <w:ilvl w:val="0"/>
                <w:numId w:val="68"/>
              </w:numPr>
              <w:tabs>
                <w:tab w:val="left" w:pos="0" w:leader="none"/>
                <w:tab w:val="left" w:pos="390" w:leader="none"/>
                <w:tab w:val="left" w:pos="532" w:leader="none"/>
                <w:tab w:val="right" w:pos="9497" w:leader="dot"/>
              </w:tabs>
              <w:spacing w:before="0" w:after="0" w:line="256"/>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pPr>
              <w:numPr>
                <w:ilvl w:val="0"/>
                <w:numId w:val="68"/>
              </w:numPr>
              <w:tabs>
                <w:tab w:val="left" w:pos="0" w:leader="none"/>
                <w:tab w:val="left" w:pos="390" w:leader="none"/>
                <w:tab w:val="left" w:pos="532" w:leader="none"/>
                <w:tab w:val="right" w:pos="9497" w:leader="dot"/>
              </w:tabs>
              <w:spacing w:before="0" w:after="0" w:line="256"/>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w:t>
            </w:r>
          </w:p>
          <w:p>
            <w:pPr>
              <w:numPr>
                <w:ilvl w:val="0"/>
                <w:numId w:val="68"/>
              </w:numPr>
              <w:tabs>
                <w:tab w:val="left" w:pos="0" w:leader="none"/>
                <w:tab w:val="left" w:pos="390" w:leader="none"/>
                <w:tab w:val="left" w:pos="532" w:leader="none"/>
                <w:tab w:val="right" w:pos="9497" w:leader="dot"/>
              </w:tabs>
              <w:spacing w:before="0" w:after="0" w:line="256"/>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мозговой штурм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p>
          <w:p>
            <w:pPr>
              <w:numPr>
                <w:ilvl w:val="0"/>
                <w:numId w:val="68"/>
              </w:numPr>
              <w:tabs>
                <w:tab w:val="left" w:pos="390" w:leader="none"/>
                <w:tab w:val="left" w:pos="674" w:leader="none"/>
              </w:tabs>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педагогические технологии - </w:t>
            </w:r>
            <w:r>
              <w:rPr>
                <w:rFonts w:ascii="Times New Roman" w:hAnsi="Times New Roman" w:cs="Times New Roman" w:eastAsia="Times New Roman"/>
                <w:b/>
                <w:color w:val="auto"/>
                <w:spacing w:val="-2"/>
                <w:position w:val="0"/>
                <w:sz w:val="24"/>
                <w:shd w:fill="FFFFFF" w:val="clear"/>
              </w:rPr>
              <w:t xml:space="preserve">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здоровьесберегающая технология, технология-дебаты и др.</w:t>
            </w:r>
          </w:p>
          <w:p>
            <w:pPr>
              <w:numPr>
                <w:ilvl w:val="0"/>
                <w:numId w:val="68"/>
              </w:numPr>
              <w:tabs>
                <w:tab w:val="left" w:pos="390" w:leader="none"/>
                <w:tab w:val="left" w:pos="674" w:leader="none"/>
              </w:tabs>
              <w:spacing w:before="0" w:after="0" w:line="240"/>
              <w:ind w:right="0" w:left="0" w:firstLine="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алгоритм учебного занятия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краткое описание структуры занятия и его этапов;</w:t>
            </w:r>
          </w:p>
          <w:p>
            <w:pPr>
              <w:numPr>
                <w:ilvl w:val="0"/>
                <w:numId w:val="68"/>
              </w:numPr>
              <w:tabs>
                <w:tab w:val="left" w:pos="390" w:leader="none"/>
                <w:tab w:val="left" w:pos="674" w:leader="none"/>
              </w:tabs>
              <w:spacing w:before="0" w:after="0" w:line="240"/>
              <w:ind w:right="0" w:left="0" w:firstLine="283"/>
              <w:jc w:val="both"/>
              <w:rPr>
                <w:rFonts w:ascii="Times New Roman" w:hAnsi="Times New Roman" w:cs="Times New Roman" w:eastAsia="Times New Roman"/>
                <w:color w:val="auto"/>
                <w:position w:val="0"/>
              </w:rPr>
            </w:pPr>
            <w:r>
              <w:rPr>
                <w:rFonts w:ascii="Times New Roman" w:hAnsi="Times New Roman" w:cs="Times New Roman" w:eastAsia="Times New Roman"/>
                <w:color w:val="auto"/>
                <w:spacing w:val="0"/>
                <w:position w:val="0"/>
                <w:sz w:val="24"/>
                <w:shd w:fill="auto" w:val="clear"/>
              </w:rPr>
              <w:t xml:space="preserve">дидактические материалы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раздаточные материалы, инструкционные, технологические карты, задания, упражнения, образцы изделий и т.п.</w:t>
            </w:r>
          </w:p>
        </w:tc>
      </w:tr>
      <w:tr>
        <w:trPr>
          <w:trHeight w:val="1" w:hRule="atLeast"/>
          <w:jc w:val="left"/>
        </w:trPr>
        <w:tc>
          <w:tcPr>
            <w:tcW w:w="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16"/>
                <w:shd w:fill="auto" w:val="clear"/>
              </w:rPr>
              <w:t xml:space="preserve">2.6</w:t>
            </w:r>
          </w:p>
        </w:tc>
        <w:tc>
          <w:tcPr>
            <w:tcW w:w="1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Список литературы</w:t>
            </w:r>
          </w:p>
        </w:tc>
        <w:tc>
          <w:tcPr>
            <w:tcW w:w="7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составлении списка литературы необходимо учитывать:</w:t>
            </w:r>
          </w:p>
          <w:p>
            <w:pPr>
              <w:numPr>
                <w:ilvl w:val="0"/>
                <w:numId w:val="75"/>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w:t>
            </w:r>
          </w:p>
          <w:p>
            <w:pPr>
              <w:numPr>
                <w:ilvl w:val="0"/>
                <w:numId w:val="75"/>
              </w:numPr>
              <w:spacing w:before="0" w:after="0" w:line="240"/>
              <w:ind w:right="0" w:left="0" w:firstLine="39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наглядный материал: альбомы, атласы, карты, таблицы.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может быть составлен для разных участников образовательного процесса (педагогов, детей,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оформляется в соответствии с ГОСТ к оформлению библиографических ссылок.</w:t>
            </w:r>
          </w:p>
          <w:p>
            <w:pPr>
              <w:spacing w:before="0" w:after="0" w:line="240"/>
              <w:ind w:right="0" w:left="0" w:firstLine="0"/>
              <w:jc w:val="both"/>
              <w:rPr>
                <w:rFonts w:ascii="Times New Roman" w:hAnsi="Times New Roman" w:cs="Times New Roman" w:eastAsia="Times New Roman"/>
                <w:color w:val="auto"/>
                <w:spacing w:val="0"/>
                <w:position w:val="0"/>
                <w:shd w:fill="auto" w:val="clear"/>
              </w:rPr>
            </w:pPr>
          </w:p>
        </w:tc>
      </w:tr>
    </w:tbl>
    <w:p>
      <w:pPr>
        <w:tabs>
          <w:tab w:val="left" w:pos="851" w:leader="none"/>
        </w:tabs>
        <w:spacing w:before="0" w:after="16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9">
    <w:abstractNumId w:val="60"/>
  </w:num>
  <w:num w:numId="18">
    <w:abstractNumId w:val="54"/>
  </w:num>
  <w:num w:numId="27">
    <w:abstractNumId w:val="48"/>
  </w:num>
  <w:num w:numId="32">
    <w:abstractNumId w:val="42"/>
  </w:num>
  <w:num w:numId="34">
    <w:abstractNumId w:val="36"/>
  </w:num>
  <w:num w:numId="39">
    <w:abstractNumId w:val="30"/>
  </w:num>
  <w:num w:numId="49">
    <w:abstractNumId w:val="24"/>
  </w:num>
  <w:num w:numId="54">
    <w:abstractNumId w:val="18"/>
  </w:num>
  <w:num w:numId="58">
    <w:abstractNumId w:val="12"/>
  </w:num>
  <w:num w:numId="68">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